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rFonts w:ascii="Bodoni SvtyTwo ITC TT-Bold" w:hAnsi="Bodoni SvtyTwo ITC TT-Bold"/>
          <w:sz w:val="24"/>
          <w:szCs w:val="24"/>
        </w:rPr>
      </w:pPr>
    </w:p>
    <w:p>
      <w:pPr>
        <w:pStyle w:val="Body"/>
        <w:spacing w:line="288" w:lineRule="auto"/>
        <w:jc w:val="center"/>
        <w:rPr>
          <w:rFonts w:ascii="Bodoni SvtyTwo ITC TT-Bold" w:hAnsi="Bodoni SvtyTwo ITC TT-Bold"/>
          <w:sz w:val="24"/>
          <w:szCs w:val="24"/>
        </w:rPr>
      </w:pPr>
    </w:p>
    <w:p>
      <w:pPr>
        <w:pStyle w:val="Body"/>
        <w:spacing w:line="288" w:lineRule="auto"/>
        <w:jc w:val="center"/>
        <w:rPr>
          <w:rFonts w:ascii="Bodoni SvtyTwo ITC TT-Bold" w:cs="Bodoni SvtyTwo ITC TT-Bold" w:hAnsi="Bodoni SvtyTwo ITC TT-Bold" w:eastAsia="Bodoni SvtyTwo ITC TT-Bold"/>
          <w:sz w:val="36"/>
          <w:szCs w:val="36"/>
        </w:rPr>
      </w:pPr>
      <w:r>
        <w:rPr>
          <w:rFonts w:ascii="Bodoni SvtyTwo ITC TT-Bold" w:hAnsi="Bodoni SvtyTwo ITC TT-Bold"/>
          <w:sz w:val="36"/>
          <w:szCs w:val="36"/>
          <w:rtl w:val="0"/>
          <w:lang w:val="en-US"/>
        </w:rPr>
        <w:t>Ichiro and the Great Mountain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Title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: Ichiro and the Great Mountain</w:t>
      </w:r>
    </w:p>
    <w:p>
      <w:pPr>
        <w:pStyle w:val="Body"/>
        <w:spacing w:line="288" w:lineRule="auto"/>
        <w:rPr>
          <w:rFonts w:ascii="Bodoni SvtyTwo ITC TT-Bold" w:cs="Bodoni SvtyTwo ITC TT-Bold" w:hAnsi="Bodoni SvtyTwo ITC TT-Bold" w:eastAsia="Bodoni SvtyTwo ITC TT-Bold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 xml:space="preserve">Author: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W. Nikola-Lisa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Illustrator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: Curated images from photo stock service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Design Suggestions and File Conversion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: Deb Tremper, Six Penny Graphics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Publisher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: Gyroscope Books (the independent press of W. Nikola-Lisa)</w:t>
      </w:r>
    </w:p>
    <w:p>
      <w:pPr>
        <w:pStyle w:val="Body.0"/>
        <w:spacing w:before="0" w:line="288" w:lineRule="auto"/>
        <w:rPr>
          <w:rFonts w:ascii="Bodoni SvtyTwo ITC TT-Bold" w:cs="Bodoni SvtyTwo ITC TT-Bold" w:hAnsi="Bodoni SvtyTwo ITC TT-Bold" w:eastAsia="Bodoni SvtyTwo ITC TT-Bold"/>
        </w:rPr>
      </w:pPr>
      <w:r>
        <w:rPr>
          <w:rFonts w:ascii="Bodoni SvtyTwo ITC TT-Bold" w:hAnsi="Bodoni SvtyTwo ITC TT-Bold"/>
          <w:rtl w:val="0"/>
          <w:lang w:val="en-US"/>
        </w:rPr>
        <w:t>Publisher</w:t>
      </w:r>
      <w:r>
        <w:rPr>
          <w:rFonts w:ascii="Bodoni SvtyTwo ITC TT-Bold" w:hAnsi="Bodoni SvtyTwo ITC TT-Bold" w:hint="default"/>
          <w:rtl w:val="0"/>
          <w:lang w:val="en-US"/>
        </w:rPr>
        <w:t>’</w:t>
      </w:r>
      <w:r>
        <w:rPr>
          <w:rFonts w:ascii="Bodoni SvtyTwo ITC TT-Bold" w:hAnsi="Bodoni SvtyTwo ITC TT-Bold"/>
          <w:rtl w:val="0"/>
          <w:lang w:val="en-US"/>
        </w:rPr>
        <w:t>s Cataloguing-in-Publication Data:</w:t>
      </w:r>
      <w:r>
        <w:rPr>
          <w:rFonts w:ascii="Bodoni SvtyTwo ITC TT-Book" w:hAnsi="Bodoni SvtyTwo ITC TT-Book"/>
          <w:rtl w:val="0"/>
          <w:lang w:val="en-US"/>
        </w:rPr>
        <w:t xml:space="preserve"> Prepared by the Donahue Group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Wholesaler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: IngramSpark (with standard industry discount and full return policy)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Contact: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 xml:space="preserve"> </w:t>
      </w:r>
      <w:r>
        <w:rPr>
          <w:rFonts w:ascii="Bodoni SvtyTwo ITC TT-Book" w:hAnsi="Bodoni SvtyTwo ITC TT-Book"/>
          <w:sz w:val="24"/>
          <w:szCs w:val="24"/>
          <w:rtl w:val="0"/>
        </w:rPr>
        <w:t xml:space="preserve">nikolabooks@gmail.com 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Website: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 xml:space="preserve"> www.nikolabooks.com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Publication Date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: September 24, 2022</w:t>
      </w:r>
    </w:p>
    <w:p>
      <w:pPr>
        <w:pStyle w:val="Body"/>
        <w:spacing w:line="288" w:lineRule="auto"/>
        <w:rPr>
          <w:rFonts w:ascii="Bodoni SvtyTwo ITC TT-Bold" w:cs="Bodoni SvtyTwo ITC TT-Bold" w:hAnsi="Bodoni SvtyTwo ITC TT-Bold" w:eastAsia="Bodoni SvtyTwo ITC TT-Bold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ISBN/Format/Price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cs="Bodoni SvtyTwo ITC TT-Bold" w:hAnsi="Bodoni SvtyTwo ITC TT-Bold" w:eastAsia="Bodoni SvtyTwo ITC TT-Bold"/>
          <w:sz w:val="24"/>
          <w:szCs w:val="24"/>
        </w:rPr>
        <w:tab/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 xml:space="preserve">9781734192384 [hardcover]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$18.99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ok" w:cs="Bodoni SvtyTwo ITC TT-Book" w:hAnsi="Bodoni SvtyTwo ITC TT-Book" w:eastAsia="Bodoni SvtyTwo ITC TT-Book"/>
          <w:sz w:val="24"/>
          <w:szCs w:val="24"/>
          <w:rtl w:val="0"/>
          <w:lang w:val="en-US"/>
        </w:rPr>
        <w:tab/>
        <w:t>9781734192391 [paperback] $11.39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ok" w:cs="Bodoni SvtyTwo ITC TT-Book" w:hAnsi="Bodoni SvtyTwo ITC TT-Book" w:eastAsia="Bodoni SvtyTwo ITC TT-Book"/>
          <w:sz w:val="24"/>
          <w:szCs w:val="24"/>
          <w:rtl w:val="0"/>
          <w:lang w:val="en-US"/>
        </w:rPr>
        <w:tab/>
        <w:t>9798986017303 [audiobook]   $7.99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Audience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: Juvenile Audience and Beyond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Dimension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: 5</w:t>
      </w:r>
      <w:r>
        <w:rPr>
          <w:rFonts w:ascii="Bodoni SvtyTwo ITC TT-Book" w:hAnsi="Bodoni SvtyTwo ITC TT-Book" w:hint="default"/>
          <w:sz w:val="24"/>
          <w:szCs w:val="24"/>
          <w:rtl w:val="0"/>
          <w:lang w:val="en-US"/>
        </w:rPr>
        <w:t xml:space="preserve">”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x 8</w:t>
      </w:r>
      <w:r>
        <w:rPr>
          <w:rFonts w:ascii="Bodoni SvtyTwo ITC TT-Book" w:hAnsi="Bodoni SvtyTwo ITC TT-Book" w:hint="default"/>
          <w:sz w:val="24"/>
          <w:szCs w:val="24"/>
          <w:rtl w:val="0"/>
          <w:lang w:val="en-US"/>
        </w:rPr>
        <w:t xml:space="preserve">”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(127mm x 203mm)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Page Count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 xml:space="preserve">: 42 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Paper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 xml:space="preserve">: 70 lb.,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White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, Standard Ink</w:t>
      </w:r>
    </w:p>
    <w:p>
      <w:pPr>
        <w:pStyle w:val="Body"/>
        <w:spacing w:line="288" w:lineRule="auto"/>
        <w:rPr>
          <w:rFonts w:ascii="Bodoni SvtyTwo ITC TT-Bold" w:cs="Bodoni SvtyTwo ITC TT-Bold" w:hAnsi="Bodoni SvtyTwo ITC TT-Bold" w:eastAsia="Bodoni SvtyTwo ITC TT-Bold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Fonts: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 xml:space="preserve"> 72 bodoni regular and </w:t>
      </w:r>
      <w:r>
        <w:rPr>
          <w:rFonts w:ascii="Bodoni SvtyTwo ITC TT-Book" w:hAnsi="Bodoni SvtyTwo ITC TT-Book"/>
          <w:sz w:val="24"/>
          <w:szCs w:val="24"/>
          <w:rtl w:val="0"/>
        </w:rPr>
        <w:t>72 b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o</w:t>
      </w:r>
      <w:r>
        <w:rPr>
          <w:rFonts w:ascii="Bodoni SvtyTwo ITC TT-Book" w:hAnsi="Bodoni SvtyTwo ITC TT-Book"/>
          <w:sz w:val="24"/>
          <w:szCs w:val="24"/>
          <w:rtl w:val="0"/>
          <w:lang w:val="it-IT"/>
        </w:rPr>
        <w:t xml:space="preserve">doni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smallcaps</w:t>
      </w:r>
    </w:p>
    <w:p>
      <w:pPr>
        <w:pStyle w:val="Body"/>
        <w:spacing w:line="288" w:lineRule="auto"/>
        <w:rPr>
          <w:rFonts w:ascii="Bodoni SvtyTwo ITC TT-Bold" w:cs="Bodoni SvtyTwo ITC TT-Bold" w:hAnsi="Bodoni SvtyTwo ITC TT-Bold" w:eastAsia="Bodoni SvtyTwo ITC TT-Bold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 xml:space="preserve">Subjects: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 xml:space="preserve">Literary Folktale, Religion and Spirituality,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Multicultural Interest</w:t>
      </w:r>
    </w:p>
    <w:p>
      <w:pPr>
        <w:pStyle w:val="Body"/>
        <w:spacing w:line="288" w:lineRule="auto"/>
        <w:rPr>
          <w:rFonts w:ascii="Bodoni SvtyTwo ITC TT-Bold" w:cs="Bodoni SvtyTwo ITC TT-Bold" w:hAnsi="Bodoni SvtyTwo ITC TT-Bold" w:eastAsia="Bodoni SvtyTwo ITC TT-Bold"/>
          <w:sz w:val="24"/>
          <w:szCs w:val="24"/>
        </w:rPr>
      </w:pP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 xml:space="preserve">Short Description: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An original literary folktale that follows a young, free-spirited boy through the stages of life.</w:t>
      </w:r>
    </w:p>
    <w:p>
      <w:pPr>
        <w:pStyle w:val="Body"/>
        <w:spacing w:line="288" w:lineRule="auto"/>
        <w:rPr>
          <w:rFonts w:ascii="Bodoni SvtyTwo ITC TT-Bold" w:cs="Bodoni SvtyTwo ITC TT-Bold" w:hAnsi="Bodoni SvtyTwo ITC TT-Bold" w:eastAsia="Bodoni SvtyTwo ITC TT-Bold"/>
          <w:sz w:val="24"/>
          <w:szCs w:val="24"/>
        </w:rPr>
      </w:pP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Long Description: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 xml:space="preserve">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 xml:space="preserve">Told in brief, repetitive episodes, Ichiro and the Great Mountain follows a young, free-spirited boy through the stages of life as he searches for his true self, making this original literary folktale a story of becoming or, in the Buddhist tradition, a story of self-realization and enlightenment. Presented as an illustrated chapter book for the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middle grade reader and beyond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. Available in hardcover, paperback, and audiobook.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</w:p>
    <w:p>
      <w:pPr>
        <w:pStyle w:val="Body"/>
        <w:spacing w:line="288" w:lineRule="auto"/>
        <w:rPr>
          <w:rFonts w:ascii="Bodoni SvtyTwo ITC TT-Bold" w:cs="Bodoni SvtyTwo ITC TT-Bold" w:hAnsi="Bodoni SvtyTwo ITC TT-Bold" w:eastAsia="Bodoni SvtyTwo ITC TT-Bold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 xml:space="preserve">Promotional Plan: 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ok" w:hAnsi="Bodoni SvtyTwo ITC TT-Book" w:hint="default"/>
          <w:sz w:val="24"/>
          <w:szCs w:val="24"/>
          <w:rtl w:val="0"/>
          <w:lang w:val="en-US"/>
        </w:rPr>
        <w:t>—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Independent Book Publishers Association P</w:t>
      </w:r>
      <w:r>
        <w:rPr>
          <w:rFonts w:ascii="Bodoni SvtyTwo ITC TT-Book" w:hAnsi="Bodoni SvtyTwo ITC TT-Book"/>
          <w:sz w:val="24"/>
          <w:szCs w:val="24"/>
          <w:rtl w:val="0"/>
          <w:lang w:val="fr-FR"/>
        </w:rPr>
        <w:t xml:space="preserve">romotional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A</w:t>
      </w:r>
      <w:r>
        <w:rPr>
          <w:rFonts w:ascii="Bodoni SvtyTwo ITC TT-Book" w:hAnsi="Bodoni SvtyTwo ITC TT-Book"/>
          <w:sz w:val="24"/>
          <w:szCs w:val="24"/>
          <w:rtl w:val="0"/>
        </w:rPr>
        <w:t>ds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: M</w:t>
      </w:r>
      <w:r>
        <w:rPr>
          <w:rFonts w:ascii="Bodoni SvtyTwo ITC TT-Book" w:hAnsi="Bodoni SvtyTwo ITC TT-Book"/>
          <w:sz w:val="24"/>
          <w:szCs w:val="24"/>
          <w:rtl w:val="0"/>
        </w:rPr>
        <w:t xml:space="preserve">edia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O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 xml:space="preserve">utreach,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Bookstore Catalog, ALA Library Journal. and L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ibrary e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B</w:t>
      </w:r>
      <w:r>
        <w:rPr>
          <w:rFonts w:ascii="Bodoni SvtyTwo ITC TT-Book" w:hAnsi="Bodoni SvtyTwo ITC TT-Book"/>
          <w:sz w:val="24"/>
          <w:szCs w:val="24"/>
          <w:rtl w:val="0"/>
        </w:rPr>
        <w:t>last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ok" w:hAnsi="Bodoni SvtyTwo ITC TT-Book" w:hint="default"/>
          <w:sz w:val="24"/>
          <w:szCs w:val="24"/>
          <w:rtl w:val="0"/>
          <w:lang w:val="en-US"/>
        </w:rPr>
        <w:t>—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Social Media</w:t>
      </w:r>
      <w:r>
        <w:rPr>
          <w:rFonts w:ascii="Bodoni SvtyTwo ITC TT-Book" w:hAnsi="Bodoni SvtyTwo ITC TT-Book"/>
          <w:sz w:val="24"/>
          <w:szCs w:val="24"/>
          <w:rtl w:val="0"/>
        </w:rPr>
        <w:t xml:space="preserve"> 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P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osts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: Facebook and Author</w:t>
      </w:r>
      <w:r>
        <w:rPr>
          <w:rFonts w:ascii="Bodoni SvtyTwo ITC TT-Book" w:hAnsi="Bodoni SvtyTwo ITC TT-Book" w:hint="default"/>
          <w:sz w:val="24"/>
          <w:szCs w:val="24"/>
          <w:rtl w:val="0"/>
          <w:lang w:val="en-US"/>
        </w:rPr>
        <w:t>’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s W</w:t>
      </w:r>
      <w:r>
        <w:rPr>
          <w:rFonts w:ascii="Bodoni SvtyTwo ITC TT-Book" w:hAnsi="Bodoni SvtyTwo ITC TT-Book"/>
          <w:sz w:val="24"/>
          <w:szCs w:val="24"/>
          <w:rtl w:val="0"/>
          <w:lang w:val="nl-NL"/>
        </w:rPr>
        <w:t>ebsite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ok" w:hAnsi="Bodoni SvtyTwo ITC TT-Book" w:hint="default"/>
          <w:sz w:val="24"/>
          <w:szCs w:val="24"/>
          <w:rtl w:val="0"/>
          <w:lang w:val="en-US"/>
        </w:rPr>
        <w:t>—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Book Reviews: Book Review Directory, Reader Views, Prairies Book Review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ok" w:hAnsi="Bodoni SvtyTwo ITC TT-Book" w:hint="default"/>
          <w:sz w:val="24"/>
          <w:szCs w:val="24"/>
          <w:rtl w:val="0"/>
          <w:lang w:val="en-US"/>
        </w:rPr>
        <w:t>—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Book Award Contests: Eric Hoffer Awards, IBPA Ben Franklin Awards, Society of Midland Authors Awards, Next Generation Indie Awards, Independent Press Awards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Honor and Awards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ok" w:hAnsi="Bodoni SvtyTwo ITC TT-Book" w:hint="default"/>
          <w:sz w:val="24"/>
          <w:szCs w:val="24"/>
          <w:rtl w:val="0"/>
          <w:lang w:val="en-US"/>
        </w:rPr>
        <w:t>—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Global Award Winner, Reader Views Literary Awards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ok" w:hAnsi="Bodoni SvtyTwo ITC TT-Book" w:hint="default"/>
          <w:sz w:val="24"/>
          <w:szCs w:val="24"/>
          <w:rtl w:val="0"/>
          <w:lang w:val="en-US"/>
        </w:rPr>
        <w:t>—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Distinguished Favorite, Independent Press Awards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ok" w:hAnsi="Bodoni SvtyTwo ITC TT-Book" w:hint="default"/>
          <w:sz w:val="24"/>
          <w:szCs w:val="24"/>
          <w:rtl w:val="0"/>
          <w:lang w:val="en-US"/>
        </w:rPr>
        <w:t>—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Runner-Up, Juvenile Fiction, Reader Views Literary Awards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ok" w:hAnsi="Bodoni SvtyTwo ITC TT-Book" w:hint="default"/>
          <w:sz w:val="24"/>
          <w:szCs w:val="24"/>
          <w:rtl w:val="0"/>
          <w:lang w:val="en-US"/>
        </w:rPr>
        <w:t>—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Runner-Up, Juvenile Fiction, Society of Midland Authors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ok" w:hAnsi="Bodoni SvtyTwo ITC TT-Book" w:hint="default"/>
          <w:sz w:val="24"/>
          <w:szCs w:val="24"/>
          <w:rtl w:val="0"/>
          <w:lang w:val="en-US"/>
        </w:rPr>
        <w:t>—</w:t>
      </w:r>
      <w:r>
        <w:rPr>
          <w:rFonts w:ascii="Bodoni SvtyTwo ITC TT-Book" w:hAnsi="Bodoni SvtyTwo ITC TT-Book"/>
          <w:sz w:val="24"/>
          <w:szCs w:val="24"/>
          <w:rtl w:val="0"/>
          <w:lang w:val="en-US"/>
        </w:rPr>
        <w:t>Runner-Up, Juvenile Fiction, IBPA Ben Franklin Book Awards</w:t>
      </w: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</w:p>
    <w:p>
      <w:pPr>
        <w:pStyle w:val="Body"/>
        <w:spacing w:line="288" w:lineRule="auto"/>
        <w:rPr>
          <w:rFonts w:ascii="Bodoni SvtyTwo ITC TT-Book" w:cs="Bodoni SvtyTwo ITC TT-Book" w:hAnsi="Bodoni SvtyTwo ITC TT-Book" w:eastAsia="Bodoni SvtyTwo ITC TT-Book"/>
          <w:sz w:val="24"/>
          <w:szCs w:val="24"/>
        </w:rPr>
      </w:pPr>
      <w:r>
        <w:rPr>
          <w:rFonts w:ascii="Bodoni SvtyTwo ITC TT-Bold" w:hAnsi="Bodoni SvtyTwo ITC TT-Bold"/>
          <w:sz w:val="24"/>
          <w:szCs w:val="24"/>
          <w:rtl w:val="0"/>
          <w:lang w:val="en-US"/>
        </w:rPr>
        <w:t>Reviews:</w:t>
      </w:r>
    </w:p>
    <w:p>
      <w:pPr>
        <w:pStyle w:val="Default"/>
        <w:bidi w:val="0"/>
        <w:spacing w:before="0" w:after="220"/>
        <w:ind w:left="0" w:right="0" w:firstLine="0"/>
        <w:jc w:val="left"/>
        <w:rPr>
          <w:rFonts w:ascii="Bodoni SvtyTwo ITC TT-Book" w:cs="Bodoni SvtyTwo ITC TT-Book" w:hAnsi="Bodoni SvtyTwo ITC TT-Book" w:eastAsia="Bodoni SvtyTwo ITC TT-Book"/>
          <w:rtl w:val="0"/>
        </w:rPr>
      </w:pPr>
      <w:r>
        <w:rPr>
          <w:rFonts w:ascii="Bodoni SvtyTwo ITC TT-BookIta" w:hAnsi="Bodoni SvtyTwo ITC TT-BookIta"/>
          <w:rtl w:val="0"/>
          <w:lang w:val="en-US"/>
        </w:rPr>
        <w:t>Ichiro and the Great Mountain</w:t>
      </w:r>
      <w:r>
        <w:rPr>
          <w:rFonts w:ascii="Bodoni SvtyTwo ITC TT-Book" w:hAnsi="Bodoni SvtyTwo ITC TT-Book"/>
          <w:rtl w:val="0"/>
          <w:lang w:val="en-US"/>
        </w:rPr>
        <w:t xml:space="preserve"> will provide important life lessons and insights for all ages and be enjoyed time and again</w:t>
      </w:r>
      <w:r>
        <w:rPr>
          <w:rFonts w:ascii="Bodoni SvtyTwo ITC TT-Book" w:hAnsi="Bodoni SvtyTwo ITC TT-Book" w:hint="default"/>
          <w:rtl w:val="0"/>
        </w:rPr>
        <w:t>…</w:t>
      </w:r>
      <w:r>
        <w:rPr>
          <w:rFonts w:ascii="Bodoni SvtyTwo ITC TT-Book" w:hAnsi="Bodoni SvtyTwo ITC TT-Book"/>
          <w:rtl w:val="0"/>
          <w:lang w:val="en-US"/>
        </w:rPr>
        <w:t xml:space="preserve">. W. Nikola-Lisa's tale is timeless, ubiquitous, and transcendent. </w:t>
      </w:r>
      <w:r>
        <w:rPr>
          <w:rFonts w:ascii="Bodoni SvtyTwo ITC TT-BookIta" w:hAnsi="Bodoni SvtyTwo ITC TT-BookIta"/>
          <w:rtl w:val="0"/>
          <w:lang w:val="en-US"/>
        </w:rPr>
        <w:t>Book Review Directory</w:t>
      </w:r>
    </w:p>
    <w:p>
      <w:pPr>
        <w:pStyle w:val="Default"/>
        <w:bidi w:val="0"/>
        <w:spacing w:before="0" w:after="220"/>
        <w:ind w:left="0" w:right="0" w:firstLine="0"/>
        <w:jc w:val="left"/>
        <w:rPr>
          <w:rFonts w:ascii="Bodoni SvtyTwo ITC TT-Book" w:cs="Bodoni SvtyTwo ITC TT-Book" w:hAnsi="Bodoni SvtyTwo ITC TT-Book" w:eastAsia="Bodoni SvtyTwo ITC TT-Book"/>
          <w:rtl w:val="0"/>
        </w:rPr>
      </w:pPr>
      <w:r>
        <w:rPr>
          <w:rFonts w:ascii="Bodoni SvtyTwo ITC TT-Book" w:hAnsi="Bodoni SvtyTwo ITC TT-Book"/>
          <w:rtl w:val="0"/>
          <w:lang w:val="en-US"/>
        </w:rPr>
        <w:t>The black-and-white illustrations use shapes with patterns, forms, and earthy hues to embody the protagonist</w:t>
      </w:r>
      <w:r>
        <w:rPr>
          <w:rFonts w:ascii="Bodoni SvtyTwo ITC TT-Book" w:hAnsi="Bodoni SvtyTwo ITC TT-Book" w:hint="default"/>
          <w:rtl w:val="1"/>
        </w:rPr>
        <w:t>’</w:t>
      </w:r>
      <w:r>
        <w:rPr>
          <w:rFonts w:ascii="Bodoni SvtyTwo ITC TT-Book" w:hAnsi="Bodoni SvtyTwo ITC TT-Book"/>
          <w:rtl w:val="0"/>
          <w:lang w:val="en-US"/>
        </w:rPr>
        <w:t xml:space="preserve">s growth that occurs within. Both text and art complement each other perfectly. This swiftly moving yet contemplative read is great for the upper elementary/middle school student and beyond. A stunner. </w:t>
      </w:r>
      <w:r>
        <w:rPr>
          <w:rFonts w:ascii="Bodoni SvtyTwo ITC TT-BookIta" w:hAnsi="Bodoni SvtyTwo ITC TT-BookIta"/>
          <w:rtl w:val="0"/>
          <w:lang w:val="en-US"/>
        </w:rPr>
        <w:t>Prairies Book Review</w:t>
      </w:r>
      <w:r>
        <w:rPr>
          <w:rFonts w:ascii="Bodoni SvtyTwo ITC TT-Book" w:hAnsi="Bodoni SvtyTwo ITC TT-Book"/>
          <w:rtl w:val="0"/>
        </w:rPr>
        <w:t xml:space="preserve"> </w:t>
      </w:r>
    </w:p>
    <w:p>
      <w:pPr>
        <w:pStyle w:val="Default"/>
        <w:bidi w:val="0"/>
        <w:spacing w:before="0" w:after="220"/>
        <w:ind w:left="0" w:right="0" w:firstLine="0"/>
        <w:jc w:val="left"/>
        <w:rPr>
          <w:rFonts w:ascii="Bodoni SvtyTwo ITC TT-Book" w:cs="Bodoni SvtyTwo ITC TT-Book" w:hAnsi="Bodoni SvtyTwo ITC TT-Book" w:eastAsia="Bodoni SvtyTwo ITC TT-Book"/>
          <w:outline w:val="0"/>
          <w:color w:val="ffffff"/>
          <w:rtl w:val="0"/>
          <w14:textFill>
            <w14:solidFill>
              <w14:srgbClr w14:val="FFFFFF"/>
            </w14:solidFill>
          </w14:textFill>
        </w:rPr>
      </w:pPr>
      <w:r>
        <w:rPr>
          <w:rFonts w:ascii="Bodoni SvtyTwo ITC TT-BookIta" w:hAnsi="Bodoni SvtyTwo ITC TT-BookIta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Ichiro and the Great Mountain</w:t>
      </w:r>
      <w:r>
        <w:rPr>
          <w:rFonts w:ascii="Bodoni SvtyTwo ITC TT-Book" w:hAnsi="Bodoni SvtyTwo ITC TT-Book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is a thought-provoking book with a deeper message in between the lines. If you are the type of person who enjoys deceptively simple books, books that really encourage you to think, I would definitely recommend this one! </w:t>
      </w:r>
      <w:r>
        <w:rPr>
          <w:rFonts w:ascii="Bodoni SvtyTwo ITC TT-BookIta" w:hAnsi="Bodoni SvtyTwo ITC TT-BookIta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Reader Views Reviews</w:t>
      </w:r>
    </w:p>
    <w:p>
      <w:pPr>
        <w:pStyle w:val="Body.0"/>
        <w:spacing w:before="0" w:line="288" w:lineRule="auto"/>
        <w:rPr>
          <w:rFonts w:ascii="Bodoni SvtyTwo ITC TT-Book" w:cs="Bodoni SvtyTwo ITC TT-Book" w:hAnsi="Bodoni SvtyTwo ITC TT-Book" w:eastAsia="Bodoni SvtyTwo ITC TT-Book"/>
        </w:rPr>
      </w:pPr>
      <w:r>
        <w:rPr>
          <w:rFonts w:ascii="Bodoni SvtyTwo ITC TT-Bold" w:hAnsi="Bodoni SvtyTwo ITC TT-Bold"/>
          <w:rtl w:val="0"/>
          <w:lang w:val="en-US"/>
        </w:rPr>
        <w:t>About the Author</w:t>
      </w:r>
      <w:r>
        <w:rPr>
          <w:rFonts w:ascii="Bodoni SvtyTwo ITC TT-Book" w:hAnsi="Bodoni SvtyTwo ITC TT-Book"/>
          <w:rtl w:val="0"/>
          <w:lang w:val="en-US"/>
        </w:rPr>
        <w:t xml:space="preserve"> </w:t>
      </w:r>
    </w:p>
    <w:p>
      <w:pPr>
        <w:pStyle w:val="Body.0"/>
        <w:spacing w:before="0" w:line="288" w:lineRule="auto"/>
        <w:rPr>
          <w:rFonts w:ascii="Bodoni SvtyTwo ITC TT-Bold" w:cs="Bodoni SvtyTwo ITC TT-Bold" w:hAnsi="Bodoni SvtyTwo ITC TT-Bold" w:eastAsia="Bodoni SvtyTwo ITC TT-Bold"/>
        </w:rPr>
      </w:pPr>
      <w:r>
        <w:rPr>
          <w:rFonts w:ascii="Bodoni SvtyTwo ITC TT-Book" w:hAnsi="Bodoni SvtyTwo ITC TT-Book"/>
          <w:rtl w:val="0"/>
          <w:lang w:val="en-US"/>
        </w:rPr>
        <w:t xml:space="preserve">A long-time resident of Chicago, W. Nikola-Lisa is the author of over thirty books, including the award-winning </w:t>
      </w:r>
      <w:r>
        <w:rPr>
          <w:rFonts w:ascii="Bodoni SvtyTwo ITC TT-BookIta" w:hAnsi="Bodoni SvtyTwo ITC TT-BookIta"/>
          <w:rtl w:val="0"/>
          <w:lang w:val="en-US"/>
        </w:rPr>
        <w:t>Bein</w:t>
      </w:r>
      <w:r>
        <w:rPr>
          <w:rFonts w:ascii="Bodoni SvtyTwo ITC TT-BookIta" w:hAnsi="Bodoni SvtyTwo ITC TT-BookIta" w:hint="default"/>
          <w:rtl w:val="0"/>
          <w:lang w:val="en-US"/>
        </w:rPr>
        <w:t xml:space="preserve">’ </w:t>
      </w:r>
      <w:r>
        <w:rPr>
          <w:rFonts w:ascii="Bodoni SvtyTwo ITC TT-BookIta" w:hAnsi="Bodoni SvtyTwo ITC TT-BookIta"/>
          <w:rtl w:val="0"/>
          <w:lang w:val="en-US"/>
        </w:rPr>
        <w:t xml:space="preserve">With You This Way, </w:t>
      </w:r>
      <w:r>
        <w:rPr>
          <w:rFonts w:ascii="Bodoni SvtyTwo ITC TT-Book" w:hAnsi="Bodoni SvtyTwo ITC TT-Book"/>
          <w:rtl w:val="0"/>
          <w:lang w:val="en-US"/>
        </w:rPr>
        <w:t xml:space="preserve">the ever-popular </w:t>
      </w:r>
      <w:r>
        <w:rPr>
          <w:rFonts w:ascii="Bodoni SvtyTwo ITC TT-BookIta" w:hAnsi="Bodoni SvtyTwo ITC TT-BookIta"/>
          <w:rtl w:val="0"/>
          <w:lang w:val="en-US"/>
        </w:rPr>
        <w:t xml:space="preserve">Shake Dem Halloween Bones, </w:t>
      </w:r>
      <w:r>
        <w:rPr>
          <w:rFonts w:ascii="Bodoni SvtyTwo ITC TT-Book" w:hAnsi="Bodoni SvtyTwo ITC TT-Book"/>
          <w:rtl w:val="0"/>
          <w:lang w:val="en-US"/>
        </w:rPr>
        <w:t xml:space="preserve">the autobiographical </w:t>
      </w:r>
      <w:r>
        <w:rPr>
          <w:rFonts w:ascii="Bodoni SvtyTwo ITC TT-Book" w:hAnsi="Bodoni SvtyTwo ITC TT-Book"/>
          <w:rtl w:val="0"/>
          <w:lang w:val="en-US"/>
        </w:rPr>
        <w:t xml:space="preserve">middle-grade </w:t>
      </w:r>
      <w:r>
        <w:rPr>
          <w:rFonts w:ascii="Bodoni SvtyTwo ITC TT-Book" w:hAnsi="Bodoni SvtyTwo ITC TT-Book"/>
          <w:rtl w:val="0"/>
          <w:lang w:val="en-US"/>
        </w:rPr>
        <w:t xml:space="preserve">novel </w:t>
      </w:r>
      <w:r>
        <w:rPr>
          <w:rFonts w:ascii="Bodoni SvtyTwo ITC TT-BookIta" w:hAnsi="Bodoni SvtyTwo ITC TT-BookIta"/>
          <w:rtl w:val="0"/>
          <w:lang w:val="en-US"/>
        </w:rPr>
        <w:t xml:space="preserve">Shark Man, </w:t>
      </w:r>
      <w:r>
        <w:rPr>
          <w:rFonts w:ascii="Bodoni SvtyTwo ITC TT-Book" w:hAnsi="Bodoni SvtyTwo ITC TT-Book"/>
          <w:rtl w:val="0"/>
          <w:lang w:val="en-US"/>
        </w:rPr>
        <w:t xml:space="preserve">and, for older readers, </w:t>
      </w:r>
      <w:r>
        <w:rPr>
          <w:rFonts w:ascii="Bodoni SvtyTwo ITC TT-BookIta" w:hAnsi="Bodoni SvtyTwo ITC TT-BookIta"/>
          <w:rtl w:val="0"/>
          <w:lang w:val="en-US"/>
        </w:rPr>
        <w:t>The Men Who Made the Yankees</w:t>
      </w:r>
      <w:r>
        <w:rPr>
          <w:rFonts w:ascii="Bodoni SvtyTwo ITC TT-Book" w:hAnsi="Bodoni SvtyTwo ITC TT-Book"/>
          <w:rtl w:val="0"/>
          <w:lang w:val="en-US"/>
        </w:rPr>
        <w:t>, an early history of the American League</w:t>
      </w:r>
      <w:r>
        <w:rPr>
          <w:rFonts w:ascii="Bodoni SvtyTwo ITC TT-Book" w:hAnsi="Bodoni SvtyTwo ITC TT-Book" w:hint="default"/>
          <w:rtl w:val="0"/>
          <w:lang w:val="en-US"/>
        </w:rPr>
        <w:t>’</w:t>
      </w:r>
      <w:r>
        <w:rPr>
          <w:rFonts w:ascii="Bodoni SvtyTwo ITC TT-Book" w:hAnsi="Bodoni SvtyTwo ITC TT-Book"/>
          <w:rtl w:val="0"/>
          <w:lang w:val="en-US"/>
        </w:rPr>
        <w:t>s New York franchise.</w:t>
      </w:r>
    </w:p>
    <w:p>
      <w:pPr>
        <w:pStyle w:val="Body"/>
        <w:spacing w:line="288" w:lineRule="auto"/>
      </w:pPr>
      <w:r>
        <w:rPr>
          <w:rFonts w:ascii="Bodoni SvtyTwo ITC TT-Book" w:cs="Bodoni SvtyTwo ITC TT-Book" w:hAnsi="Bodoni SvtyTwo ITC TT-Book" w:eastAsia="Bodoni SvtyTwo ITC TT-Book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doni SvtyTwo ITC TT-Bold">
    <w:charset w:val="00"/>
    <w:family w:val="roman"/>
    <w:pitch w:val="default"/>
  </w:font>
  <w:font w:name="Bodoni SvtyTwo ITC TT-Book">
    <w:charset w:val="00"/>
    <w:family w:val="roman"/>
    <w:pitch w:val="default"/>
  </w:font>
  <w:font w:name="Bodoni SvtyTwo ITC TT-BookIt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